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5c2f6d0c24b04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54542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HLAPIĆ CERNA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244.928,10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241.516,30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3.411,80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698,00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2.713,80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iznose 244.928,10 €, a ukupni rashodi 242.214,30 €, od čega se 698,00 € odnosi na rashode za nabavu nefinancijske imovine. U skladu s navedenim, na kraju izvještajnog razdoblja ostvaren je višak od 2.713,80 €.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38.950,00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38.950,00 € se odnosi na uplate roditelja za boravak djece u vrtiću.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6.061,68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6.008,13 € odnosi se na nabavu namirnica za užinu i doručak, a 53,55 € na nabavu lijekova.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6.488,58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 ukupnog iznosa 6.488,58 €, 1085,32 € utrošeno je na električnu energiju, 13,44 € na plin a 5.389,82 € je trošak za nabavu peleta za ogrjev.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1.604,00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Za komunalne usluge utrošeno je 1.604,00 €. 1.037,14 je trošak opskrbe vodom, odvoz smeća je 266,86 €, a deratizacija 300,00 €.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7.435,83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Intelektualne usluge u izvještajnom razdoblju izvršene su u iznosu od 7.435,83 € . Od toga 4.180,52 € je isplata ugovora o djelu, 255,31 € na javnobilježničke usluge, te 3.000,00 € na uslugu održavanja web stranice.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20.443,25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20.443,25 € odnosi se na uslugu pripremanja i dostave toplog obroka – ručka.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Navedeni iznos odnosi se na nabavu trimera.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38.408,69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Ukupne obveze Dječjeg vrtića iznose 38.408,69 €. Obveze se najvećim dijelom odnose na redovne troškove nastale u mjesecu lipnju, čije je dospijeće plaćanja u srpnju. Obveze se odnose na obveze prema dobavljačima za isporučenu robu i izvršene usluge, obveze za plaću i pripadajuće doprinose. Sve nevedeno predstavlja tekuće obveze koje će biti podmirene u zakonskim i ugovorenim rokovima tijekom srpnja.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4.537,60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 ukupnog iznosa, 3.929,01 € odnosi se na račun za topli obrok, dok se 190,54 € odnosi na potraživanja za više uplaćene doprinose, a 418,05 € su obveze proračunskog korisnika za povrat u proračun zbog bolovanja na teret HZZO-a, koje će biti podmirene kad HZZO refundira novce.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ca966f66424520" /></Relationships>
</file>